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eastAsia="黑体"/>
          <w:sz w:val="32"/>
        </w:rPr>
      </w:pPr>
    </w:p>
    <w:p>
      <w:pPr>
        <w:jc w:val="center"/>
        <w:rPr>
          <w:rFonts w:ascii="黑体" w:eastAsia="黑体"/>
          <w:sz w:val="32"/>
        </w:rPr>
      </w:pPr>
    </w:p>
    <w:p>
      <w:pPr>
        <w:jc w:val="center"/>
        <w:rPr>
          <w:rFonts w:ascii="黑体" w:eastAsia="黑体"/>
          <w:sz w:val="32"/>
        </w:rPr>
      </w:pPr>
    </w:p>
    <w:p>
      <w:pPr>
        <w:jc w:val="center"/>
        <w:rPr>
          <w:rFonts w:ascii="宋体" w:hAnsi="宋体"/>
          <w:b/>
          <w:w w:val="82"/>
          <w:kern w:val="0"/>
          <w:sz w:val="52"/>
          <w:szCs w:val="52"/>
        </w:rPr>
      </w:pPr>
      <w:r>
        <w:rPr>
          <w:rFonts w:hint="eastAsia" w:ascii="宋体" w:hAnsi="宋体"/>
          <w:b/>
          <w:w w:val="75"/>
          <w:kern w:val="0"/>
          <w:sz w:val="52"/>
          <w:szCs w:val="52"/>
          <w:fitText w:val="2364" w:id="0"/>
        </w:rPr>
        <w:t>河南科技学</w:t>
      </w:r>
      <w:r>
        <w:rPr>
          <w:rFonts w:hint="eastAsia" w:ascii="宋体" w:hAnsi="宋体"/>
          <w:b/>
          <w:spacing w:val="5"/>
          <w:w w:val="75"/>
          <w:kern w:val="0"/>
          <w:sz w:val="52"/>
          <w:szCs w:val="52"/>
          <w:fitText w:val="2364" w:id="0"/>
        </w:rPr>
        <w:t>院</w:t>
      </w:r>
    </w:p>
    <w:p>
      <w:pPr>
        <w:jc w:val="center"/>
        <w:rPr>
          <w:rFonts w:ascii="宋体" w:hAnsi="宋体"/>
          <w:b/>
          <w:sz w:val="48"/>
          <w:szCs w:val="48"/>
        </w:rPr>
      </w:pPr>
      <w:r>
        <w:rPr>
          <w:rFonts w:hint="eastAsia" w:ascii="宋体" w:hAnsi="宋体"/>
          <w:b/>
          <w:w w:val="80"/>
          <w:kern w:val="0"/>
          <w:sz w:val="48"/>
          <w:szCs w:val="48"/>
          <w:fitText w:val="5807" w:id="1"/>
        </w:rPr>
        <w:t>硕士专业学位研究生课程教学大</w:t>
      </w:r>
      <w:r>
        <w:rPr>
          <w:rFonts w:hint="eastAsia" w:ascii="宋体" w:hAnsi="宋体"/>
          <w:b/>
          <w:spacing w:val="-7"/>
          <w:w w:val="80"/>
          <w:kern w:val="0"/>
          <w:sz w:val="48"/>
          <w:szCs w:val="48"/>
          <w:fitText w:val="5807" w:id="1"/>
        </w:rPr>
        <w:t>纲</w:t>
      </w:r>
    </w:p>
    <w:p/>
    <w:p/>
    <w:p/>
    <w:p/>
    <w:p/>
    <w:p/>
    <w:p/>
    <w:p/>
    <w:p/>
    <w:p/>
    <w:p/>
    <w:p>
      <w:pPr>
        <w:tabs>
          <w:tab w:val="left" w:pos="1200"/>
        </w:tabs>
        <w:spacing w:line="480" w:lineRule="atLeast"/>
        <w:ind w:firstLine="1920" w:firstLineChars="600"/>
        <w:rPr>
          <w:b/>
          <w:sz w:val="32"/>
        </w:rPr>
      </w:pPr>
      <w:r>
        <w:rPr>
          <w:rFonts w:hint="eastAsia"/>
          <w:b/>
          <w:sz w:val="32"/>
        </w:rPr>
        <w:t>课程名称</w:t>
      </w:r>
      <w:r>
        <w:rPr>
          <w:rFonts w:hint="eastAsia"/>
          <w:b/>
          <w:sz w:val="32"/>
          <w:u w:val="single"/>
        </w:rPr>
        <w:t xml:space="preserve">        学前游戏与案例分析     </w:t>
      </w:r>
    </w:p>
    <w:p>
      <w:pPr>
        <w:tabs>
          <w:tab w:val="left" w:pos="1200"/>
        </w:tabs>
        <w:spacing w:line="480" w:lineRule="atLeast"/>
        <w:ind w:firstLine="1920" w:firstLineChars="600"/>
        <w:rPr>
          <w:b/>
          <w:sz w:val="32"/>
        </w:rPr>
      </w:pPr>
      <w:r>
        <w:rPr>
          <w:rFonts w:hint="eastAsia"/>
          <w:b/>
          <w:sz w:val="32"/>
        </w:rPr>
        <w:t xml:space="preserve">所在院（系） </w:t>
      </w:r>
      <w:r>
        <w:rPr>
          <w:rFonts w:hint="eastAsia"/>
          <w:b/>
          <w:sz w:val="32"/>
          <w:u w:val="single"/>
        </w:rPr>
        <w:t xml:space="preserve">       教育科学学院       </w:t>
      </w:r>
    </w:p>
    <w:p>
      <w:pPr>
        <w:tabs>
          <w:tab w:val="left" w:pos="1200"/>
        </w:tabs>
        <w:spacing w:line="480" w:lineRule="atLeast"/>
        <w:ind w:firstLine="1920" w:firstLineChars="600"/>
        <w:rPr>
          <w:b/>
          <w:sz w:val="32"/>
        </w:rPr>
      </w:pPr>
      <w:r>
        <w:rPr>
          <w:rFonts w:hint="eastAsia"/>
          <w:b/>
          <w:sz w:val="32"/>
        </w:rPr>
        <w:t>适用领域(方向)</w:t>
      </w:r>
      <w:r>
        <w:rPr>
          <w:rFonts w:hint="eastAsia"/>
          <w:b/>
          <w:sz w:val="32"/>
          <w:u w:val="single"/>
        </w:rPr>
        <w:t xml:space="preserve">        学前教育          </w:t>
      </w:r>
    </w:p>
    <w:p>
      <w:pPr>
        <w:tabs>
          <w:tab w:val="left" w:pos="1200"/>
        </w:tabs>
        <w:spacing w:line="480" w:lineRule="atLeast"/>
        <w:ind w:firstLine="1920" w:firstLineChars="600"/>
        <w:rPr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大纲撰写负责人</w:t>
      </w:r>
      <w:r>
        <w:rPr>
          <w:rFonts w:hint="eastAsia"/>
          <w:b/>
          <w:sz w:val="32"/>
          <w:u w:val="single"/>
        </w:rPr>
        <w:t xml:space="preserve">          高佳           </w:t>
      </w:r>
    </w:p>
    <w:p>
      <w:pPr>
        <w:tabs>
          <w:tab w:val="left" w:pos="1155"/>
        </w:tabs>
        <w:spacing w:line="480" w:lineRule="atLeast"/>
        <w:ind w:firstLine="1920" w:firstLineChars="600"/>
        <w:rPr>
          <w:b/>
          <w:szCs w:val="21"/>
        </w:rPr>
      </w:pPr>
      <w:r>
        <w:rPr>
          <w:rFonts w:hint="eastAsia" w:ascii="宋体" w:hAnsi="宋体"/>
          <w:b/>
          <w:sz w:val="32"/>
          <w:szCs w:val="32"/>
        </w:rPr>
        <w:t>学院领导(签字)</w:t>
      </w:r>
      <w:r>
        <w:rPr>
          <w:rFonts w:hint="eastAsia" w:ascii="宋体" w:hAnsi="宋体"/>
          <w:b/>
          <w:sz w:val="32"/>
          <w:szCs w:val="32"/>
          <w:u w:val="thick"/>
        </w:rPr>
        <w:t xml:space="preserve">                         </w:t>
      </w:r>
    </w:p>
    <w:p>
      <w:pPr>
        <w:tabs>
          <w:tab w:val="left" w:pos="1050"/>
          <w:tab w:val="left" w:pos="2100"/>
        </w:tabs>
        <w:ind w:firstLine="1920" w:firstLineChars="600"/>
        <w:rPr>
          <w:b/>
          <w:sz w:val="32"/>
        </w:rPr>
      </w:pPr>
      <w:r>
        <w:rPr>
          <w:rFonts w:hint="eastAsia" w:ascii="宋体" w:hAnsi="宋体"/>
          <w:b/>
          <w:sz w:val="32"/>
          <w:szCs w:val="32"/>
        </w:rPr>
        <w:t>研究生处领导(签字)</w:t>
      </w:r>
      <w:r>
        <w:rPr>
          <w:rFonts w:hint="eastAsia" w:ascii="宋体" w:hAnsi="宋体"/>
          <w:b/>
          <w:sz w:val="32"/>
          <w:szCs w:val="32"/>
          <w:u w:val="thick"/>
        </w:rPr>
        <w:t xml:space="preserve">                     </w:t>
      </w:r>
    </w:p>
    <w:p>
      <w:pPr>
        <w:tabs>
          <w:tab w:val="left" w:pos="1200"/>
        </w:tabs>
        <w:spacing w:line="480" w:lineRule="atLeast"/>
        <w:ind w:firstLine="1920" w:firstLineChars="600"/>
        <w:rPr>
          <w:b/>
          <w:sz w:val="32"/>
          <w:u w:val="single"/>
        </w:rPr>
      </w:pPr>
      <w:r>
        <w:rPr>
          <w:rFonts w:hint="eastAsia"/>
          <w:b/>
          <w:sz w:val="32"/>
        </w:rPr>
        <w:t>填表日期</w:t>
      </w:r>
      <w:r>
        <w:rPr>
          <w:rFonts w:hint="eastAsia"/>
          <w:b/>
          <w:sz w:val="32"/>
          <w:szCs w:val="32"/>
          <w:u w:val="thick"/>
        </w:rPr>
        <w:t xml:space="preserve">   </w:t>
      </w:r>
      <w:r>
        <w:rPr>
          <w:rFonts w:hint="eastAsia" w:ascii="宋体" w:hAnsi="宋体"/>
          <w:b/>
          <w:sz w:val="32"/>
          <w:szCs w:val="32"/>
          <w:u w:val="thick"/>
        </w:rPr>
        <w:t xml:space="preserve">     </w:t>
      </w:r>
      <w:bookmarkStart w:id="0" w:name="_GoBack"/>
      <w:bookmarkEnd w:id="0"/>
      <w:r>
        <w:rPr>
          <w:rFonts w:hint="eastAsia" w:ascii="宋体" w:hAnsi="宋体"/>
          <w:b/>
          <w:sz w:val="32"/>
          <w:szCs w:val="32"/>
          <w:u w:val="thick"/>
          <w:lang w:val="en-US" w:eastAsia="zh-CN"/>
        </w:rPr>
        <w:t>2</w:t>
      </w:r>
      <w:r>
        <w:rPr>
          <w:rFonts w:hint="eastAsia" w:ascii="宋体" w:hAnsi="宋体"/>
          <w:b/>
          <w:sz w:val="32"/>
          <w:szCs w:val="32"/>
          <w:u w:val="thick"/>
        </w:rPr>
        <w:t>017年4月</w:t>
      </w:r>
      <w:r>
        <w:rPr>
          <w:rFonts w:hint="eastAsia" w:ascii="宋体" w:hAnsi="宋体"/>
          <w:b/>
          <w:sz w:val="32"/>
          <w:szCs w:val="32"/>
          <w:u w:val="thick"/>
          <w:lang w:val="en-US" w:eastAsia="zh-CN"/>
        </w:rPr>
        <w:t>20日</w:t>
      </w:r>
      <w:r>
        <w:rPr>
          <w:rFonts w:hint="eastAsia" w:ascii="宋体" w:hAnsi="宋体"/>
          <w:b/>
          <w:sz w:val="32"/>
          <w:szCs w:val="32"/>
          <w:u w:val="thick"/>
        </w:rPr>
        <w:t xml:space="preserve">    </w:t>
      </w:r>
      <w:r>
        <w:rPr>
          <w:rFonts w:hint="eastAsia"/>
          <w:b/>
          <w:sz w:val="32"/>
          <w:u w:val="single"/>
        </w:rPr>
        <w:t xml:space="preserve">    </w:t>
      </w:r>
    </w:p>
    <w:p/>
    <w:p/>
    <w:p>
      <w:pPr>
        <w:spacing w:line="360" w:lineRule="atLeast"/>
        <w:jc w:val="center"/>
        <w:rPr>
          <w:sz w:val="30"/>
        </w:rPr>
      </w:pPr>
    </w:p>
    <w:p>
      <w:pPr>
        <w:rPr>
          <w:rFonts w:eastAsia="黑体"/>
        </w:rPr>
      </w:pPr>
      <w:r>
        <w:rPr>
          <w:rFonts w:eastAsia="黑体"/>
        </w:rPr>
        <w:br w:type="page"/>
      </w:r>
      <w:r>
        <w:rPr>
          <w:rFonts w:eastAsia="黑体"/>
        </w:rPr>
        <w:t xml:space="preserve">              </w:t>
      </w:r>
    </w:p>
    <w:p>
      <w:pPr>
        <w:ind w:firstLine="840" w:firstLineChars="400"/>
        <w:rPr>
          <w:rFonts w:eastAsia="黑体"/>
          <w:sz w:val="24"/>
        </w:rPr>
      </w:pPr>
      <w:r>
        <w:rPr>
          <w:rFonts w:hint="eastAsia" w:eastAsia="黑体"/>
        </w:rPr>
        <w:t>课程编号：</w:t>
      </w:r>
      <w:r>
        <w:rPr>
          <w:rFonts w:hint="eastAsia" w:ascii="宋体" w:hAnsi="宋体"/>
          <w:szCs w:val="21"/>
        </w:rPr>
        <w:t>404116015</w:t>
      </w:r>
    </w:p>
    <w:p>
      <w:pPr>
        <w:ind w:firstLine="840" w:firstLineChars="400"/>
        <w:rPr>
          <w:rFonts w:ascii="黑体" w:hAnsi="宋体" w:eastAsia="黑体"/>
          <w:sz w:val="28"/>
          <w:szCs w:val="28"/>
        </w:rPr>
      </w:pPr>
      <w:r>
        <w:rPr>
          <w:rFonts w:hint="eastAsia" w:eastAsia="黑体"/>
        </w:rPr>
        <w:t>课程名称：</w:t>
      </w:r>
      <w:r>
        <w:rPr>
          <w:rFonts w:hint="eastAsia" w:ascii="黑体" w:hAnsi="宋体" w:eastAsia="黑体"/>
          <w:sz w:val="28"/>
          <w:szCs w:val="28"/>
        </w:rPr>
        <w:t>学前游戏与案例分析</w:t>
      </w:r>
    </w:p>
    <w:p>
      <w:pPr>
        <w:ind w:firstLine="840" w:firstLineChars="400"/>
        <w:rPr>
          <w:rFonts w:ascii="宋体" w:hAnsi="宋体"/>
        </w:rPr>
      </w:pPr>
      <w:r>
        <w:rPr>
          <w:rFonts w:hint="eastAsia" w:eastAsia="黑体"/>
        </w:rPr>
        <w:t>英文名称：</w:t>
      </w:r>
      <w:r>
        <w:rPr>
          <w:rFonts w:eastAsia="黑体"/>
          <w:sz w:val="28"/>
          <w:szCs w:val="28"/>
        </w:rPr>
        <w:t xml:space="preserve">Preschool </w:t>
      </w:r>
      <w:r>
        <w:rPr>
          <w:rFonts w:hint="eastAsia" w:eastAsia="黑体"/>
          <w:sz w:val="28"/>
          <w:szCs w:val="28"/>
        </w:rPr>
        <w:t>G</w:t>
      </w:r>
      <w:r>
        <w:rPr>
          <w:rFonts w:eastAsia="黑体"/>
          <w:sz w:val="28"/>
          <w:szCs w:val="28"/>
        </w:rPr>
        <w:t xml:space="preserve">ames and </w:t>
      </w:r>
      <w:r>
        <w:rPr>
          <w:rFonts w:hint="eastAsia" w:eastAsia="黑体"/>
          <w:sz w:val="28"/>
          <w:szCs w:val="28"/>
        </w:rPr>
        <w:t>C</w:t>
      </w:r>
      <w:r>
        <w:rPr>
          <w:rFonts w:eastAsia="黑体"/>
          <w:sz w:val="28"/>
          <w:szCs w:val="28"/>
        </w:rPr>
        <w:t xml:space="preserve">ases </w:t>
      </w:r>
      <w:r>
        <w:rPr>
          <w:rFonts w:hint="eastAsia" w:eastAsia="黑体"/>
          <w:sz w:val="28"/>
          <w:szCs w:val="28"/>
        </w:rPr>
        <w:t>A</w:t>
      </w:r>
      <w:r>
        <w:rPr>
          <w:rFonts w:eastAsia="黑体"/>
          <w:sz w:val="28"/>
          <w:szCs w:val="28"/>
        </w:rPr>
        <w:t>nalysis</w:t>
      </w:r>
    </w:p>
    <w:p>
      <w:pPr>
        <w:ind w:firstLine="840" w:firstLineChars="400"/>
        <w:rPr>
          <w:rFonts w:eastAsia="黑体"/>
        </w:rPr>
      </w:pPr>
      <w:r>
        <w:rPr>
          <w:rFonts w:hint="eastAsia" w:eastAsia="黑体"/>
        </w:rPr>
        <w:t>课程类别</w:t>
      </w:r>
      <w:r>
        <w:rPr>
          <w:rFonts w:hint="eastAsia" w:ascii="宋体" w:hAnsi="宋体"/>
        </w:rPr>
        <w:t xml:space="preserve">：专业必修课                      </w:t>
      </w:r>
      <w:r>
        <w:rPr>
          <w:rFonts w:hint="eastAsia" w:eastAsia="黑体"/>
        </w:rPr>
        <w:t>学分：</w:t>
      </w:r>
      <w:r>
        <w:rPr>
          <w:rFonts w:hint="eastAsia" w:ascii="宋体" w:hAnsi="宋体"/>
        </w:rPr>
        <w:t>2</w:t>
      </w:r>
    </w:p>
    <w:p>
      <w:pPr>
        <w:rPr>
          <w:rFonts w:eastAsia="黑体"/>
        </w:rPr>
      </w:pPr>
    </w:p>
    <w:p>
      <w:pPr>
        <w:rPr>
          <w:rFonts w:eastAsia="黑体"/>
        </w:rPr>
      </w:pPr>
      <w:r>
        <w:rPr>
          <w:rFonts w:hint="eastAsia" w:eastAsia="黑体"/>
        </w:rPr>
        <w:t xml:space="preserve">                                 </w:t>
      </w:r>
    </w:p>
    <w:p>
      <w:pPr>
        <w:rPr>
          <w:rFonts w:ascii="宋体" w:hAnsi="宋体"/>
        </w:rPr>
      </w:pPr>
      <w:r>
        <w:rPr>
          <w:rFonts w:hint="eastAsia" w:eastAsia="黑体"/>
        </w:rPr>
        <w:t>开课单位：</w:t>
      </w:r>
      <w:r>
        <w:rPr>
          <w:rFonts w:hint="eastAsia" w:ascii="宋体" w:hAnsi="宋体"/>
        </w:rPr>
        <w:t xml:space="preserve">教育科学学院         </w:t>
      </w:r>
      <w:r>
        <w:rPr>
          <w:rFonts w:hint="eastAsia" w:eastAsia="黑体"/>
        </w:rPr>
        <w:t xml:space="preserve">                   开课学期：</w:t>
      </w:r>
      <w:r>
        <w:rPr>
          <w:rFonts w:hint="eastAsia" w:ascii="宋体" w:hAnsi="宋体"/>
        </w:rPr>
        <w:t>2</w:t>
      </w:r>
    </w:p>
    <w:p>
      <w:pPr>
        <w:rPr>
          <w:rFonts w:eastAsia="黑体"/>
        </w:rPr>
      </w:pPr>
      <w:r>
        <w:rPr>
          <w:rFonts w:hint="eastAsia" w:eastAsia="黑体"/>
        </w:rPr>
        <w:t>适用领域(方向)：</w:t>
      </w:r>
      <w:r>
        <w:rPr>
          <w:rFonts w:hint="eastAsia" w:ascii="宋体" w:hAnsi="宋体"/>
        </w:rPr>
        <w:t xml:space="preserve">学前教育           </w:t>
      </w:r>
      <w:r>
        <w:rPr>
          <w:rFonts w:hint="eastAsia" w:eastAsia="黑体"/>
        </w:rPr>
        <w:t xml:space="preserve">                教学方式：</w:t>
      </w:r>
      <w:r>
        <w:rPr>
          <w:rFonts w:hint="eastAsia" w:ascii="宋体" w:hAnsi="宋体"/>
        </w:rPr>
        <w:t>教学与研讨</w:t>
      </w:r>
    </w:p>
    <w:p>
      <w:pPr>
        <w:rPr>
          <w:rFonts w:eastAsia="黑体"/>
        </w:rPr>
      </w:pPr>
      <w:r>
        <w:rPr>
          <w:rFonts w:hint="eastAsia" w:eastAsia="黑体"/>
        </w:rPr>
        <w:t>考核方式：</w:t>
      </w:r>
      <w:r>
        <w:rPr>
          <w:rFonts w:hint="eastAsia" w:ascii="宋体" w:hAnsi="宋体"/>
        </w:rPr>
        <w:t xml:space="preserve">考试    </w:t>
      </w:r>
      <w:r>
        <w:rPr>
          <w:rFonts w:eastAsia="黑体"/>
        </w:rPr>
        <w:t xml:space="preserve">     </w:t>
      </w:r>
      <w:r>
        <w:rPr>
          <w:rFonts w:hint="eastAsia" w:eastAsia="黑体"/>
        </w:rPr>
        <w:t xml:space="preserve">                           预修课程：</w:t>
      </w:r>
      <w:r>
        <w:rPr>
          <w:rFonts w:hint="eastAsia" w:ascii="宋体" w:hAnsi="宋体"/>
        </w:rPr>
        <w:t>教育学原理、课程与教学论</w:t>
      </w:r>
    </w:p>
    <w:p>
      <w:pPr>
        <w:rPr>
          <w:rFonts w:eastAsia="黑体"/>
        </w:rPr>
      </w:pPr>
    </w:p>
    <w:p>
      <w:pPr>
        <w:rPr>
          <w:rFonts w:eastAsia="黑体"/>
        </w:rPr>
      </w:pPr>
      <w:r>
        <w:rPr>
          <w:rFonts w:hint="eastAsia" w:eastAsia="黑体"/>
        </w:rPr>
        <w:t>总学时：36</w:t>
      </w:r>
      <w:r>
        <w:rPr>
          <w:rFonts w:eastAsia="黑体"/>
        </w:rPr>
        <w:t xml:space="preserve">         </w:t>
      </w:r>
      <w:r>
        <w:rPr>
          <w:rFonts w:hint="eastAsia" w:eastAsia="黑体"/>
        </w:rPr>
        <w:t xml:space="preserve">                               课内理论学时：36</w:t>
      </w:r>
    </w:p>
    <w:p>
      <w:pPr>
        <w:rPr>
          <w:rFonts w:eastAsia="黑体"/>
        </w:rPr>
      </w:pPr>
      <w:r>
        <w:rPr>
          <w:rFonts w:hint="eastAsia" w:eastAsia="黑体"/>
        </w:rPr>
        <w:t>实验学时：0</w:t>
      </w:r>
      <w:r>
        <w:rPr>
          <w:rFonts w:eastAsia="黑体"/>
        </w:rPr>
        <w:t xml:space="preserve">         </w:t>
      </w:r>
      <w:r>
        <w:rPr>
          <w:rFonts w:hint="eastAsia" w:eastAsia="黑体"/>
        </w:rPr>
        <w:t xml:space="preserve">                              上机理论学时：0</w:t>
      </w:r>
    </w:p>
    <w:p>
      <w:pPr>
        <w:rPr>
          <w:rFonts w:eastAsia="黑体"/>
        </w:rPr>
      </w:pPr>
    </w:p>
    <w:p>
      <w:pPr>
        <w:numPr>
          <w:ilvl w:val="0"/>
          <w:numId w:val="1"/>
        </w:numPr>
        <w:rPr>
          <w:rFonts w:eastAsia="黑体"/>
        </w:rPr>
      </w:pPr>
      <w:r>
        <w:rPr>
          <w:rFonts w:hint="eastAsia" w:eastAsia="黑体"/>
        </w:rPr>
        <w:t>教学目的与要求</w:t>
      </w:r>
    </w:p>
    <w:p>
      <w:pPr>
        <w:ind w:firstLine="420" w:firstLineChars="200"/>
        <w:rPr>
          <w:rFonts w:ascii="宋体" w:hAnsi="宋体"/>
          <w:color w:val="111111"/>
          <w:szCs w:val="21"/>
        </w:rPr>
      </w:pPr>
      <w:r>
        <w:rPr>
          <w:rFonts w:hint="eastAsia" w:ascii="宋体" w:hAnsi="宋体"/>
          <w:szCs w:val="21"/>
        </w:rPr>
        <w:t>学前游戏与案例分析是教育硕士学前教育领域的专业必修课。通过该课程的学习，掌握游戏的涵义、类型、主要功能、不同学派的游戏理论、不同年龄阶段幼儿游戏的特点；形成能观察、组织和评价幼儿园游戏活动的能力；具备指导幼儿游戏活动的综合素质，提升未来幼教工作者的职业素养。</w:t>
      </w:r>
    </w:p>
    <w:p>
      <w:pPr>
        <w:numPr>
          <w:ilvl w:val="0"/>
          <w:numId w:val="1"/>
        </w:numPr>
        <w:rPr>
          <w:rFonts w:eastAsia="黑体"/>
        </w:rPr>
      </w:pPr>
      <w:r>
        <w:rPr>
          <w:rFonts w:hint="eastAsia" w:eastAsia="黑体"/>
        </w:rPr>
        <w:t>课程教学内容与学时分配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第一章 游戏概论（4学时）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1.1  游戏的历史起源与演变；游戏的主要功能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1.2  游戏的涵义和基本特征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1.3  学前游戏和幼儿园游戏、幼儿园游戏活动的区别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第二章  游戏的理论流派（4学时）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2.1  早期的游戏理论：“剩余精力”说、“松弛”说、“复演”说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2.2  当前的精神分析学派游戏理论、皮亚杰的认知发展游戏理论、社会文化历史学派的游戏理论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2.3  幼儿园以游戏为基本活动的原理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第三章  学前游戏的分类（4学时）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3.1  依据儿童认知特点、行为表现以及依据游戏的社会性特点、教育目的性进行游戏分类的方法及内容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3.2  不同游戏类别的主要特点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第四章  角色游戏组织与实施（4学时）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4.1  角色游戏的概念以及角色游戏与儿童发展的关系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4.2  幼儿园小、中、大班角色游戏的主要特点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4.3  不同年龄阶段幼儿角色游戏的过程环节与组织要求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4.4  角色游戏案例分析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第五章  表演游戏组织与实施（4学时）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5.1  表演游戏的概念、性质和特点；表演游戏与儿童发展之间的关系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5.2  幼儿园小、中、大班表演游戏的主要特点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5.3  不同年龄阶段幼儿进行表演游戏的过程环节与组织要求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5.4  表演游戏案例分析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第六章  结构游戏组织与实施（4学时）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6.1  结构游戏的概念、性质、特点和分类；结构游戏材料选择与儿童发展之间的关系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6.2  不同年龄阶段幼儿进行结构游戏的主要特点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6.3  不同年龄阶段幼儿进行结构游戏的过程环节与组织要求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6.4  结构游戏案例分析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第七章   智力游戏组织与实施（4学时）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7.1  智力游戏的概念、性质、特点和分类；智力游戏与儿童发展之间的关系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7.2  不同年龄阶段幼儿进行智力游戏的侧重点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7.3  不同年龄阶段幼儿进行智力游戏的过程环节与组织要求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7.4  智力游戏案例分析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第八章  运动游戏组织与实施（4学时）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8.1  运动类游戏的内涵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8.2  不同年龄阶段幼儿进行运动类游戏的侧重点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8.3  不同年龄阶段幼儿进行运动类游戏的过程环节与组织要求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8.4  运动游戏案例分析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第九章 教学游戏组织与实施（4学时）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9.1 教学游戏的概念和特点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9.2 游戏与幼儿园教学活动、游戏与幼儿园课程的辩证关系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9.3 教学游戏的过程环节与组织要求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  <w:szCs w:val="21"/>
        </w:rPr>
        <w:t>9.4 教学游戏案例分析</w:t>
      </w:r>
      <w:r>
        <w:rPr>
          <w:rFonts w:hint="eastAsia" w:ascii="宋体" w:hAnsi="宋体"/>
        </w:rPr>
        <w:t xml:space="preserve">    </w:t>
      </w:r>
    </w:p>
    <w:p>
      <w:pPr>
        <w:numPr>
          <w:ilvl w:val="0"/>
          <w:numId w:val="1"/>
        </w:numPr>
        <w:rPr>
          <w:rFonts w:eastAsia="黑体"/>
        </w:rPr>
      </w:pPr>
      <w:r>
        <w:rPr>
          <w:rFonts w:hint="eastAsia" w:eastAsia="黑体"/>
        </w:rPr>
        <w:t>课程教学重点、难点及注意的问题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教学重点：各种类型学前游戏分年龄段在过程环节和组织形式方面的差异性。</w:t>
      </w:r>
    </w:p>
    <w:p>
      <w:pPr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教学难点：游戏的理论流派及各自的理论基础；典型游戏案例的系统分析。</w:t>
      </w:r>
    </w:p>
    <w:p>
      <w:pPr>
        <w:rPr>
          <w:rFonts w:eastAsia="仿宋_GB2312"/>
        </w:rPr>
      </w:pPr>
      <w:r>
        <w:rPr>
          <w:rFonts w:hint="eastAsia" w:eastAsia="黑体"/>
        </w:rPr>
        <w:t>四</w:t>
      </w:r>
      <w:r>
        <w:rPr>
          <w:rFonts w:hint="eastAsia" w:eastAsia="仿宋_GB2312"/>
        </w:rPr>
        <w:t>、</w:t>
      </w:r>
      <w:r>
        <w:rPr>
          <w:rFonts w:hint="eastAsia" w:eastAsia="黑体"/>
        </w:rPr>
        <w:t>实验及实践性环节</w:t>
      </w:r>
    </w:p>
    <w:p>
      <w:pPr>
        <w:rPr>
          <w:rFonts w:eastAsia="黑体"/>
        </w:rPr>
      </w:pPr>
    </w:p>
    <w:p>
      <w:pPr>
        <w:rPr>
          <w:rFonts w:eastAsia="黑体"/>
        </w:rPr>
      </w:pPr>
      <w:r>
        <w:rPr>
          <w:rFonts w:hint="eastAsia" w:eastAsia="黑体"/>
        </w:rPr>
        <w:t>五、教材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1. 丁海东.幼儿园游戏组织与指导.长沙：湖南大学出版社，2015.</w:t>
      </w:r>
    </w:p>
    <w:p>
      <w:pPr>
        <w:rPr>
          <w:rFonts w:eastAsia="黑体"/>
        </w:rPr>
      </w:pPr>
      <w:r>
        <w:rPr>
          <w:rFonts w:hint="eastAsia" w:eastAsia="黑体"/>
        </w:rPr>
        <w:t>六、主要参考书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1. 丁海东.幼儿园游戏与指导.北京：高等教育出版社，</w:t>
      </w:r>
      <w:r>
        <w:rPr>
          <w:rFonts w:ascii="宋体" w:hAnsi="宋体"/>
        </w:rPr>
        <w:t>2013</w:t>
      </w:r>
      <w:r>
        <w:rPr>
          <w:rFonts w:hint="eastAsia" w:ascii="宋体" w:hAnsi="宋体"/>
        </w:rPr>
        <w:t>.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2. 雷湘竹.学前儿童游戏.上海：华东师范大学出版社，</w:t>
      </w:r>
      <w:r>
        <w:rPr>
          <w:rFonts w:ascii="宋体" w:hAnsi="宋体"/>
        </w:rPr>
        <w:t>201</w:t>
      </w:r>
      <w:r>
        <w:rPr>
          <w:rFonts w:hint="eastAsia" w:ascii="宋体" w:hAnsi="宋体"/>
        </w:rPr>
        <w:t>2.</w:t>
      </w:r>
    </w:p>
    <w:p>
      <w:pPr>
        <w:ind w:firstLine="420" w:firstLineChars="200"/>
        <w:rPr>
          <w:rFonts w:ascii="宋体" w:hAnsi="宋体"/>
        </w:rPr>
      </w:pPr>
      <w:r>
        <w:rPr>
          <w:rFonts w:hint="eastAsia" w:ascii="宋体" w:hAnsi="宋体"/>
        </w:rPr>
        <w:t>3. 刘焱.儿童游戏通论.北京：北京师范大学出版社，</w:t>
      </w:r>
      <w:r>
        <w:rPr>
          <w:rFonts w:ascii="宋体" w:hAnsi="宋体"/>
        </w:rPr>
        <w:t>200</w:t>
      </w:r>
      <w:r>
        <w:rPr>
          <w:rFonts w:hint="eastAsia" w:ascii="宋体" w:hAnsi="宋体"/>
        </w:rPr>
        <w:t>8.</w:t>
      </w:r>
    </w:p>
    <w:p>
      <w:pPr>
        <w:rPr>
          <w:rFonts w:ascii="宋体"/>
        </w:rPr>
      </w:pPr>
    </w:p>
    <w:sectPr>
      <w:headerReference r:id="rId3" w:type="default"/>
      <w:pgSz w:w="11907" w:h="16840"/>
      <w:pgMar w:top="1134" w:right="1134" w:bottom="1134" w:left="1134" w:header="851" w:footer="992" w:gutter="0"/>
      <w:cols w:space="425" w:num="1"/>
      <w:titlePg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rFonts w:hint="eastAsia"/>
      </w:rPr>
      <w:t>河南科技学院硕士专业学位研究生课程教学大纲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35206"/>
    <w:multiLevelType w:val="singleLevel"/>
    <w:tmpl w:val="12935206"/>
    <w:lvl w:ilvl="0" w:tentative="0">
      <w:start w:val="1"/>
      <w:numFmt w:val="japaneseCounting"/>
      <w:lvlText w:val="%1、"/>
      <w:lvlJc w:val="left"/>
      <w:pPr>
        <w:tabs>
          <w:tab w:val="left" w:pos="480"/>
        </w:tabs>
        <w:ind w:left="480" w:hanging="48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5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</w:compat>
  <w:rsids>
    <w:rsidRoot w:val="00CF79C6"/>
    <w:rsid w:val="00054285"/>
    <w:rsid w:val="000603ED"/>
    <w:rsid w:val="000942CA"/>
    <w:rsid w:val="000A026D"/>
    <w:rsid w:val="000A4CD7"/>
    <w:rsid w:val="000D7D14"/>
    <w:rsid w:val="000E0BB6"/>
    <w:rsid w:val="00165C70"/>
    <w:rsid w:val="001929F0"/>
    <w:rsid w:val="001A0083"/>
    <w:rsid w:val="001A4683"/>
    <w:rsid w:val="001C66BA"/>
    <w:rsid w:val="001D20EC"/>
    <w:rsid w:val="001D6077"/>
    <w:rsid w:val="001F4558"/>
    <w:rsid w:val="00205047"/>
    <w:rsid w:val="0025660B"/>
    <w:rsid w:val="002B2C80"/>
    <w:rsid w:val="002E20A3"/>
    <w:rsid w:val="00333CE3"/>
    <w:rsid w:val="003350D3"/>
    <w:rsid w:val="003366A4"/>
    <w:rsid w:val="003A6578"/>
    <w:rsid w:val="003B280D"/>
    <w:rsid w:val="003E40AA"/>
    <w:rsid w:val="004722A3"/>
    <w:rsid w:val="00524430"/>
    <w:rsid w:val="00530F32"/>
    <w:rsid w:val="005661B8"/>
    <w:rsid w:val="005770B4"/>
    <w:rsid w:val="005805C3"/>
    <w:rsid w:val="005833D7"/>
    <w:rsid w:val="005C7155"/>
    <w:rsid w:val="005D52AE"/>
    <w:rsid w:val="005D6293"/>
    <w:rsid w:val="006875D5"/>
    <w:rsid w:val="006906EE"/>
    <w:rsid w:val="006A66C5"/>
    <w:rsid w:val="006B182F"/>
    <w:rsid w:val="006B33F7"/>
    <w:rsid w:val="006D3309"/>
    <w:rsid w:val="007255C5"/>
    <w:rsid w:val="0073159B"/>
    <w:rsid w:val="007A3F71"/>
    <w:rsid w:val="007D126E"/>
    <w:rsid w:val="00840BAA"/>
    <w:rsid w:val="00850EB9"/>
    <w:rsid w:val="008512B6"/>
    <w:rsid w:val="008756AF"/>
    <w:rsid w:val="00876955"/>
    <w:rsid w:val="00885CC4"/>
    <w:rsid w:val="008A36FB"/>
    <w:rsid w:val="008C261C"/>
    <w:rsid w:val="008D75BB"/>
    <w:rsid w:val="00921184"/>
    <w:rsid w:val="0092277D"/>
    <w:rsid w:val="00926631"/>
    <w:rsid w:val="0094599B"/>
    <w:rsid w:val="00955966"/>
    <w:rsid w:val="00981154"/>
    <w:rsid w:val="0099348A"/>
    <w:rsid w:val="00994D14"/>
    <w:rsid w:val="009B7C36"/>
    <w:rsid w:val="009C2A03"/>
    <w:rsid w:val="009C42C3"/>
    <w:rsid w:val="009D0C85"/>
    <w:rsid w:val="009F5880"/>
    <w:rsid w:val="00A24F8A"/>
    <w:rsid w:val="00A315B1"/>
    <w:rsid w:val="00A327CA"/>
    <w:rsid w:val="00A32983"/>
    <w:rsid w:val="00A32E32"/>
    <w:rsid w:val="00A66C3A"/>
    <w:rsid w:val="00A72C56"/>
    <w:rsid w:val="00AD7FD5"/>
    <w:rsid w:val="00AE46AD"/>
    <w:rsid w:val="00AF043A"/>
    <w:rsid w:val="00B10A77"/>
    <w:rsid w:val="00B44271"/>
    <w:rsid w:val="00B7257F"/>
    <w:rsid w:val="00B77449"/>
    <w:rsid w:val="00B8115D"/>
    <w:rsid w:val="00BC56C9"/>
    <w:rsid w:val="00BE1E61"/>
    <w:rsid w:val="00C70C8A"/>
    <w:rsid w:val="00CB2740"/>
    <w:rsid w:val="00CD5405"/>
    <w:rsid w:val="00CF79C6"/>
    <w:rsid w:val="00D01B0D"/>
    <w:rsid w:val="00D1253F"/>
    <w:rsid w:val="00D13399"/>
    <w:rsid w:val="00D278DF"/>
    <w:rsid w:val="00D962AA"/>
    <w:rsid w:val="00DA77A6"/>
    <w:rsid w:val="00DB7F8C"/>
    <w:rsid w:val="00DE772D"/>
    <w:rsid w:val="00DF09B6"/>
    <w:rsid w:val="00DF5CA6"/>
    <w:rsid w:val="00E24810"/>
    <w:rsid w:val="00E56295"/>
    <w:rsid w:val="00E9186C"/>
    <w:rsid w:val="00E97576"/>
    <w:rsid w:val="00EC3CC2"/>
    <w:rsid w:val="00ED0004"/>
    <w:rsid w:val="00F20293"/>
    <w:rsid w:val="00F65DF0"/>
    <w:rsid w:val="00FA4205"/>
    <w:rsid w:val="00FB6CCD"/>
    <w:rsid w:val="6AF9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0"/>
    <w:uiPriority w:val="0"/>
    <w:pPr>
      <w:jc w:val="left"/>
    </w:pPr>
  </w:style>
  <w:style w:type="paragraph" w:styleId="3">
    <w:name w:val="Plain Text"/>
    <w:basedOn w:val="1"/>
    <w:next w:val="2"/>
    <w:link w:val="9"/>
    <w:qFormat/>
    <w:uiPriority w:val="0"/>
    <w:rPr>
      <w:rFonts w:ascii="宋体" w:hAnsi="Courier New" w:cs="Courier New"/>
      <w:szCs w:val="21"/>
    </w:rPr>
  </w:style>
  <w:style w:type="paragraph" w:styleId="4">
    <w:name w:val="Balloon Text"/>
    <w:basedOn w:val="1"/>
    <w:semiHidden/>
    <w:qFormat/>
    <w:uiPriority w:val="0"/>
    <w:rPr>
      <w:sz w:val="18"/>
      <w:szCs w:val="18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character" w:customStyle="1" w:styleId="9">
    <w:name w:val="纯文本 Char"/>
    <w:basedOn w:val="7"/>
    <w:link w:val="3"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10">
    <w:name w:val="批注文字 Char"/>
    <w:basedOn w:val="7"/>
    <w:link w:val="2"/>
    <w:uiPriority w:val="0"/>
    <w:rPr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沈阳建筑大学</Company>
  <Pages>3</Pages>
  <Words>306</Words>
  <Characters>1748</Characters>
  <Lines>14</Lines>
  <Paragraphs>4</Paragraphs>
  <TotalTime>334</TotalTime>
  <ScaleCrop>false</ScaleCrop>
  <LinksUpToDate>false</LinksUpToDate>
  <CharactersWithSpaces>2050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2018-06-16T12:12:00Z</dcterms:created>
  <dc:creator>彭勃</dc:creator>
  <cp:lastModifiedBy>石头.衣露申</cp:lastModifiedBy>
  <cp:lastPrinted>2008-02-26T00:22:00Z</cp:lastPrinted>
  <dcterms:modified xsi:type="dcterms:W3CDTF">2018-06-25T12:09:10Z</dcterms:modified>
  <dc:title>沈阳建筑大学研究生课程教学大纲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